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2009/30 vom 24. Mai 2011</w:t>
      </w:r>
    </w:p>
    <w:p>
      <w:r>
        <w:t>Sg Versicherungsgericht, 2011-05-24, DE</w:t>
      </w:r>
    </w:p>
    <w:p>
      <w:r>
        <w:rPr>
          <w:b/>
        </w:rPr>
        <w:t xml:space="preserve">Quelle: </w:t>
      </w:r>
      <w:r>
        <w:t>https://mcp.opencaselaw.ch/entscheid/sg_publikationen_IV 2009_30</w:t>
      </w:r>
    </w:p>
    <w:p>
      <w:r>
        <w:t>FR: SG_VERSICHERUNGSGERICHT IV 2009/30 du 24 mai 2011</w:t>
      </w:r>
    </w:p>
    <w:p>
      <w:r>
        <w:t>IT: SG_VERSICHERUNGSGERICHT IV 2009/30 del 24 maggio 2011</w:t>
      </w:r>
    </w:p>
    <w:p>
      <w:pPr>
        <w:pStyle w:val="Heading2"/>
      </w:pPr>
      <w:r>
        <w:t>Regeste</w:t>
      </w:r>
    </w:p>
    <w:p>
      <w:r>
        <w:t>Art. 28 Abs. 2 IVG. Würdigung Gutachten. Gutachten beweistauglich. Kein rentenbegründender Invaliditätsgrad (Entscheid des Versicherungsgerichts des Kantons St. Gallen vom 24. Mai 2011, IV 2009/30).</w:t>
      </w:r>
    </w:p>
    <w:p>
      <w:pPr>
        <w:pStyle w:val="Heading2"/>
      </w:pPr>
      <w:r>
        <w:t>Erwägungen</w:t>
      </w:r>
    </w:p>
    <w:p>
      <w:r>
        <w:rPr>
          <w:b/>
        </w:rPr>
        <w:t>E. 1</w:t>
      </w:r>
    </w:p>
    <w:p>
      <w:r>
        <w:t>Streitig und zu prüfen ist der Anspruch der Beschwerdeführerin auf Rentenleistungen der Invalidenversicherung.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5. Dezember 2008 ergangen (act. G 7.1.70), wobei ein Sachverhalt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soweit nicht ausdrücklich auf die altrechtlichen Bestimmungen verwiesen wird. 1.2    Zunächst ist mit Blick auf die Rentenfrage der Charakter der bereits am 16. August 2007 ergangenen Verfügung zu beurteilen. Art. 43 Abs. 3 ATSG lässt bei der Verletzung der Auskunfts- und Mitwirkungspflicht als Sanktion entweder einen Entscheid aufgrund der konkret vorliegenden Akten oder - nach Einstellung der Erhebungen - einen Nichteintretensentscheid zu. In der Verfügung vom 16. August 2007 entschied die Beschwerdegegnerin "aufgrund der vorliegenden Akten" und wies das Rentenleistungsbegehren ab, weil sich die Beschwerdeführerin zumutbaren Abklärungen widersetzt habe (act. G 7.1.17). Die Beschwerdegegnerin legte aber nicht dar, auf welche Gründe sich die Leistungsablehnung stützt. Die fehlende Begründung des leistungsabweisenden Entscheids und das sich aus den Akten ergebende Fehlen einer Aktenwürdigung durch die Beschwerdegegnerin zeigt, dass sie faktisch nicht aufgrund der Akten entschieden, sondern lediglich die Abklärungen eingestellt hat. Vor diesem Hintergrund hätte die Beschwerdegegnerin zwangsläufig Nichteintreten verfügen müssen. Die Verfügung vom 16. August 2007 ist daher als Nichteintretensentscheid zu qualifizieren. Daran ändert der anderslautende Verfügungswortlaut nichts, ist doch bei der Interpretation einer Verfügung deren rechtlicher Gehalt massgebend (vgl. etwa BGE 120 V 497 E. 1a). Damit geht einher, dass die Beschwerdegegnerin zu Recht auf das Leistungsbegehren eingetreten ist und dieses umfassend - und nicht bloss im Hinblick auf eine allfällige gesundheitliche Verschlechterung - geprüft hat, nachdem die Beschwerdeführerin am 5. September 2007 die erforderlichen Unterlagen eingereicht hat. Für die Prüfung der vorliegend streitigen, in der angefochtenen Verfügung vom 5. Dezember 2008 (act. G 7.1.70) materiell behandelten Rentenfrage ist daher von einer am 25. Februar 2007 (act. G 7.1.2) erfolgten IV-Anmeldung auszugehen.</w:t>
      </w:r>
    </w:p>
    <w:p>
      <w:r>
        <w:rPr>
          <w:b/>
        </w:rPr>
        <w:t>E. 2</w:t>
      </w:r>
    </w:p>
    <w:p>
      <w:r>
        <w:t>2.1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3</w:t>
      </w:r>
    </w:p>
    <w:p>
      <w:r>
        <w:t>Zunächst ist zu klären, ob der Sachverhalt in medizinischer Hinsicht rechtsgenüglich erstellt ist. 3.1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3.2    In medizinischer Hinsicht stützte sich die Beschwerdegegnerin in der angefochtenen Verfügung vom 5. Dezember 2008 auf das interdisziplinäre Gutachten der Dres. C.___ und D.___ vom 13. Juni 2006 (act. G 7.1.70). Die Beschwerdeführerin bestreitet dessen Aussagekraft. 3.3    Gegen das interdisziplinäre Gutachten führt sie die davon abweichenden medizinischen Einschätzungen ins Feld (act. G 1 und G 12). 3.3.1           Im Austrittsbericht der Klinik Valens vom 21. August 2006 (stationärer Aufenthalt vom 11. Juli bis 29. Juli 2006) wurde der Beschwerdeführerin aus rheumatologischer Sicht eine 50%ige Arbeitsfähigkeit für eine leichte, wechselbelastende Tätigkeit bescheinigt (act. G 7.1.40-6 f.). Der Austrittsbericht wurde von den Gutachtern zur Kenntnis genommen und im interdisziplinären Gutachten wiedergegeben (act. G 7.1.57-5 f.). Anlässlich der interdisziplinären Beurteilung wurde die Einschätzung der Klinik Valens diskutiert (act. G 7.1.57-13) und der rheumatologische Gutachter legte schlüssig dar, weshalb er deren Einschätzung - spätestens ab Jahresanfang 2007 - nicht teilen konnte und aus rheumatologischer Sicht von einer für leidensangepasste Tätigkeiten bestehenden 100%igen Arbeitsfähigkeit ausging (G 7.1.57-16). Die Aussagekraft des interdisziplinären Gutachtens wird daher durch den Austrittsbericht der Klinik Valens nicht geschmälert 3.3.2           Im neurologischen Gutachten der Klinik Hirslanden vom 1. Juni 2006 äusserten sich die Experten bezüglich der "vorübergehenden Arbeitsunfähigkeit" dahingehend, dass die Beschwerdeführerin medizinisch theoretisch als Geschäftsführerin zu vier Stunden pro Tag arbeitsfähig sei. Die vorübergehende Arbeitsunfähigkeit für den Beruf als Büroangestellte/Promotion betrage 50%. Unter Berücksichtigung des Haushalts und der Pflege ihres Kindes bestehe eine vorübergehende Arbeitsunfähigkeit von 75% (act. G 7.1.75-13). Die Experten der Klinik Hirslanden bezogen die bescheinigten Arbeitsunfähigkeiten damit auf den angestammten Beruf. Ins Gewicht fällt weiter, dass sie die Beeinträchtigungen ausdrücklich im Rahmen einer Momentaufnahme machten. So hielten sie fest, dass "angesichts der kurzen Dauer von nur 1 ½ Monaten seit dem zweiten Unfall" die Frage nach der dauernden Einschränkung in Beruf und Haushalt "nicht zuverlässig zu beantworten" sei. Damit geht einher, dass die Experten lediglich zur "vorübergehenden Arbeitsunfähigkeit" Stellung nahmen. Daher und weil die Erkenntnisse der neurologischen Beurteilung bei der interdisziplinären Begutachtung berücksichtigt wurden (act. G 7.1.57-4 f. und 7.1.57-13 ff.), wird der Beweiswert des interdisziplinären Gutachtens durch die Einschätzung der Klinik Hirslanden nicht erschüttert. 3.3.3           Der seit 16. Januar 2008 behandelnde Psychiater diagnostizierte im Bericht vom 23. März 2009 eine Anpassungsstörung mit längerdauernder depressiver Symptomatik (ICD-10: F43.21) - DD: posttraumatische Belastungsstörung (ICD-10: F43.1) und hielt eine halbtägige leidensadaptierte Tätigkeit für zumutbar. Hierfür verfüge die Beschwerdeführerin über eine 70 bis 80%ige Leistungsfähigkeit (act. G 7.4; vgl. bezüglich Befunde und Diagnose auch die Berichte vom 29. August 2008, act. G 17.3, sowie vom 25. April 2009, act. G 17.4). Vorweg ist darauf hinzuweisen,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Solche ergeben sich vorliegend nicht aus den Berichten von Dr. E.___. Der behandelnde Psychiater legt namentlich in den Berichten vom 18. Januar 2011 (act. G 17.2) und vom 21. Juni 2009 (act. G 17.5) nicht dar, weshalb die Einschätzung der Arbeitsfähigkeit durch den psychiatrischen Gutachter mangelhaft sein soll. Er benennt auch keine objektiv feststellbaren Gesichtspunkte, die der psychiatrische Gutachter übersehen hätte. Soweit er sich in seinen Berichten mit dem psychiatrischen Gutachten auseinandersetzt, hält er fest, dass der Psychostatus "nicht gross abweichend" sei (Bericht vom 21. Juni 2009, act. G 17.5). Ferner scheint er sich bezüglich der Konzentrationsfähigkeit, der erhöhten Ermüdbarkeit und des verringerten Durchhaltevermögens primär auf die Angaben der Beschwerdeführerin (act. G 7.4, zu den entsprechenden Klagen vgl. ferner act. G 17.4) zu stützen. Denn im von ihm erhobenen Psychostatus finden sich keine Hinweise für diese Einschränkungen. So beschreibt er die Beschwerdeführerin als bewusstseinsklar, allseits orientiert. Im Gespräch hätten sich keine groben Konzentrations- oder Auffassungs- sowie Merkfähigkeitsstörungen gezeigt (act. G 7.4, G 17.3 und G 17.4). Ergänzend kann auf die nachvollziehbaren Bemerkungen des RAD-Arztes vom 4. April 2009 verwiesen werden (act. G 7.5). Nach dem Gesagten rechtfertigen die Einschätzungen des behandelnden Psychiaters kein Abweichen vom interdisziplinären Gutachten. 3.3.4           Auch die nicht näher begründete Einschätzung des behandelnden Dr. B.___, Facharzt für Allgemeinmedizin und Innere Medizin FMH, vom 17. Dezember 2007, wonach auch für leidensadaptierte Tätigkeiten eine 80%ige Arbeitsunfähigkeit bestehe (act. G 7.1.40), vermag das schlüssige interdisziplinäre Gutachten nicht in Zweifel zu ziehen. 3.4    Die Beschwerdeführerin rügt weiter, dass das interdisziplinäre Gutachten in Widerspruch zur Haushaltsabklärung vom 7. Mai 2008 stehe (act. G 1, S. 6). Der rheumatologische Gutachter hielt die von der Abklärungsperson allein gestützt auf die Angaben der Beschwerdeführerin ermittelte Einschränkung von 40% aus medizinischer Sicht für nicht nachvollziehbar (act. G 7.1.57-15). Diese Betrachtungsweise wird durch das ambulante Assessment Haushalt vom 18. Mai 2010 bestätigt, worin lediglich geringfügige Beeinträchtigungen bei der Haushaltsführung festgestellt wurden (act. G 17.1). Die Fragen, ob und in welchem Umfang Einschränkungen im Haushaltsbereich bestehen, können letztlich aber offen gelassen werden, da im vorliegenden Fall nur die Einschränkungen im Erwerbsbereich von Bedeutung sind (vgl. hierzu nachstehende E. 4). Vor diesem Hintergrund erübrigen sich Weiterungen. 3.5    Die Beschwerdeführerin hält es für "ziemlich erschütternd", dass die Gutachter die Beschwerdegegnerin im Hinblick auf deren Bedürfnisse bzw. zur Optimierung der Gutachtenserstellung um eine Rückmeldung gebeten haben (act. G 12, S. 3). Dieses gutachterliche Anliegen ist indessen nachvollziehbar, zumal vorliegend keine Anhaltspunkte für eine unsachliche Beeinflussung oder für ein befangenes Vorgehen bestehen. Auch das Bundesgericht hat die Wichtigkeit der Qualitätskontrolle und von Rückmeldungen an die medizinischen Gutachter im Geschäftsbericht 2009 betont (Den Experten "das Wissen über das Ergebnis ihrer Expertenarbeit [Ablehnung oder Gewährung der IV-Leistungen] vorzuenthalten, ergibt keinen vernünftigen Sinn.", Geschäftsbericht 2009, S. 16). 3.6    Am rheumatologischen Gutachten bemängelt die Beschwerdeführerin, dass es "gerade einmal rund zwei Stunden" gedauert habe (act. G 12, S. 4). Dieser Kritik kann nicht gefolgt werden. Weshalb eine rund zweistündige rheumatologische Begutachtung per se nicht lege artis sein soll, begründet die Beschwerdeführerin nicht. Entscheidend ist vorliegend jedoch, dass der rheumatologische Gutachter in Kenntnis der Vorakten, gestützt auf aktuelle Röntgenaufnahmen und auf eine umfassende klinische Untersuchung eine schlüssige Beurteilung vorgenommen hat. 3.7    Die Beschwerdeführerin hält das interdisziplinäre Gutachten zusammen mit dem behandelnden Psychiater (vgl. etwa act. G 17.5) auch deshalb für nicht beweistauglich, da eine neuropsychologische Abklärung fehle (act. G 17). In der Tat erfolgte die interdisziplinäre Begutachtung lediglich aus rheumatologischer und psychiatrischer Sicht. Es fehlen eine fachneurologische und fachneuropsychiatrische Beurteilung. Aus dem von neurologischen Experten erstellten ambulanten Assessment Haushalt der Rehaklinik Bellikon vom 18. Mai 2010 ergeben sich jedoch lediglich geringfügige Einschränkungen (vgl. act. G 17.1, S. 5 f.). Es wurde kein auffälliger neurologischer Befund erhoben (act. G 17.1, S. 13 f.) noch ergibt sich daraus ein Anlass für eine neuropsychiatrische Abklärung. Konzentrationsbeeinträchtigungen wurden von den neurologischen Experten nicht beschrieben. Dies deckt sich auch mit der Einschätzung der Klinik Hirslanden, wo im Rahmen der Mentalstatuserhebung die Konzentration während der zweistündigen Untersuchung als "stetig" bezeichnet wurde (act. G 7.1.75-6). Damit geht einher, dass auch im Austrittsbericht der Klinik Valens von einem unauffälligen kognitiven Leistungsprofil mit nur leichten Schwierigkeiten im figurativen Gedächtnis die Rede war (act. G 7.1.40-6). Im Übrigen wurden die von der Beschwerdeführerin geschilderten Konzentrationsschwierigkeiten und Kopfschmerzen auf das Schmerzsyndrom zurückgeführt (act. G 7.1.40-6 und G 7.1.57-21). Vor diesem Hintergrund ist ein neuropsychiatrischer oder neurologischer Abklärungsbedarf zu verneinen. 3.8    Aus den Akten ergeben sich keine Hinweise für eine bis zum Erlass der angefochtenen Verfügung vom 5. Dezember 2008 eingetretene Verschlechterung, weshalb auch unter diesem Blickwinkel kein Anlass für weitere medizinische Abklärungen besteht. 3.9    Bei der Würdigung der medizinischen Situation fällt weiter ins Gewicht, dass das interdisziplinäre Gutachten vom 13. Juni 2008 auf umfassender Aktenkenntnis sowie interdisziplinären (rheumatologisch-psychiatrischen) Untersuchungen beruht, das Leidensbild der Beschwerdeführerin berücksichtigt und die auf dieser Grundlage gezogenen Schlüsse nachvollziehbar sind. Die Beschwerdegegnerin hat daher zu Recht auf die gutachterliche Einschätzung der Arbeitsfähigkeit abgestellt und bei der Bestimmung des Invaliditätsgrads eine für leidensangepasste Tätigkeiten bestehende Arbeitsfähigkeit von 80% berücksichtigt.</w:t>
      </w:r>
    </w:p>
    <w:p>
      <w:r>
        <w:rPr>
          <w:b/>
        </w:rPr>
        <w:t>E. 4</w:t>
      </w:r>
    </w:p>
    <w:p>
      <w:r>
        <w:t>Des Weiteren ist zu klären, in welchem Umfang die Beschwerdeführerin im Gesundheitsfall erwerbstätig gewesen wäre. 4.1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Weiter ist bei der Abklärung der Statusfrage dem Umstand Rechnung zu tragen, dass es für bereits seit längerem gesundheitlich beeinträchtigte Personen schwierig ist, die hypothetischen Verhältnisse realistisch einschätzen zu können (Entscheid des Versicherungsgerichts des Kantons St. Gallen vom 28. Juni 2007, IV 2006/114, E. 2d). 4.2    Im Fragebogen zur Rentenabklärung betreffend Erwerbstätigkeit/Haushalt gab die Beschwerdeführerin am 22. Januar 2008 zwar an, heute - ohne Behinderung - zu 80% einer Erwerbstätigkeit nachzugehen (act. G 7.1.42-2). Anlässlich der Abklärung vom 27. Februar 2008 wiederholte sie diese Aussage ("Aus finanziellen Gründen hätte sie ab März 2005 [nach der Trennung] zu 80% erwerbstätig sein müssen", act. G 7.1.55-3). Demgegenüber bestritt die Beschwerdeführerin nach dem Erhalt des Abklärungsberichts zur Unterzeichnung vehement, dass sie im Gesundheitsfall lediglich zu 80% erwerbstätig sein würde. Vor den Unfällen habe sie zu 100% gearbeitet, sogar noch ein bisschen mehr. Wenn sie die Unfälle nicht gehabt hätte, würde sie bestimmt zu 100% arbeiten (Schreiben vom 16. April 2008, act. G 7.1.55-15). 4.3    Die Ausführungen der Beschwerdeführerin, dass sie vor dem ersten Unfall im Jahr 2003 zu 100% eine Erwerbstätigkeit ausgeübt habe, erscheint glaubhaft und wird in den beigezogenen Haftpflichtakten bestätigt (vgl. das Schreiben der Nachbarin vom 11. Juli 2007: "Sie arbeitete nicht nur 100% sondern weitmehr, und das mit viel Freude!", act. G 21; vgl. ferner auch die Stellungnahme zu einem Brief des Haftpflichtversicherers vom 15. Januar 2007, act. G 21, "Z46"). Das 1996 geborene Kind der Beschwerdeführerin, hilft "ausserordentlich viel im Haushalt" mit (act. G 7.1.55) und bedarf keiner Betreuung mehr, die einer vollzeitlichen Erwerbstätigkeit durch die Beschwerdeführerin entgegenstehen würde. Vor diesem Hintergrund und mit Blick auf die knappen finanziellen Verhältnisse (vgl. hierzu act. G 7.1.55-3) ist mit überwiegender Wahrscheinlichkeit davon auszugehen, dass die Beschwerdeführerin im Gesundheitsfall einer 100%igen Erwerbstätigkeit nachgehen würde. Sie ist daher als vollzeitlich Erwerbstätige zu qualifizieren, zumal keine Anhaltspunkte ersichtlich sind, die Beschwerdeführerin habe gestützt auf versicherungstechnische Überlegungen eine 100%ige Erwerbstätigkeit für den Gesundheitsfall geltend gemacht.</w:t>
      </w:r>
    </w:p>
    <w:p>
      <w:r>
        <w:rPr>
          <w:b/>
        </w:rPr>
        <w:t>E. 5</w:t>
      </w:r>
    </w:p>
    <w:p>
      <w:r>
        <w:t>Nach dem Gesagten ist im Rahmen eines Einkommensvergleichs und ausgehend von einer 80%igen Restarbeitsfähigkeit der Invaliditätsgrad zu ermitteln. 5.1    Da vorliegend für die Bestimmung des Valideneinkommens keine repräsentative Grundlage besteht, ist entsprechend der Bestimmung des Invalideneinkommens auf die Tabelle TA1 der Schweizerischen Lohnstrukturerhebung (LSE) des Bundesamtes für Statistik, Total sämtlicher Wirtschaftszweige, Anforderungsniveau 4, Frauen, abzustellen. Da die beiden Vergleichseinkommen somit auf derselben Grundlage zu berechnen sind, kann ein Prozentvergleich vorgenommen werden. Zu klären ist damit lediglich noch die Frage der Höhe des Tabellenabzugs bei der Bestimmung des Invalideneinkommens. 5.2    Nach der Rechtsprechung hängen die Fragen, ob und in welchem Ausmass Tabellenlöhne herabzusetzen sind, von sämtlichen persönlichen und beruflichen Umständen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Tabellenabzugs ist unzulässig (BGE 126 V 79 E. 5b und 129 V 481 E. 4.2.3 mit Hinweisen). 5.3    Vor allem mit Blick auf die verbliebene Restarbeitsfähigkeit von 80%, auf das nicht weitgehend eingeschränkte Spektrum an zumutbaren Tätigkeiten (zu den Anforderungen an leidensangepasste Tätigkeiten vgl. act. G 7.1.57-14) und auf das noch nicht fortgeschrittene Alter der Beschwerdeführerin (geboren 1970, act. G 7.1.2), erscheint ein Tabellenabzug von - wenn überhaupt - höchstens 15% gerechtfertigt. Selbst bei einem Abzug von 15% resultiert ein nicht rentenbegründender Invaliditätsgrad von 32% (100% - [80% x 0.85]).</w:t>
      </w:r>
    </w:p>
    <w:p>
      <w:r>
        <w:rPr>
          <w:b/>
        </w:rPr>
        <w:t>E. 6</w:t>
      </w:r>
    </w:p>
    <w:p>
      <w:r>
        <w:t>6.1    Die Beschwerde vom 26. Januar 2009 ist abzuweisen. 6.2    Der Beschwerdeführerin wurde die unentgeltliche Prozessführung am 20. April 2009 bewilligt (act. G 8). Wenn die wirtschaftlichen Verhältnisse der Beschwerdeführerin es gestatten, kann sie jedoch zur Nachzahlung der Gerichtskosten, der Auslagen für die Vertretung und der vom Staat entschädigten Parteikosten verpflichtet werden (Art. 288 Abs. 1 ZPO/SG i.V.m. Art. 99 Abs. 2 VRP/SG i.V.m. Art. 404 Abs. 1 ZPO/CH). 6.3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6.4    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reichte am 28. April 2011 eine um einen Fünftel gekürzte (Art. 31 Abs. 3 AnwG) Honorarnote im Betrag von Fr. 4'070.-- (exkl. Barauslagen und Mehrwertsteuer) ein (act. G 24.1). Im Vergleich zu durchschnittlichen IV-Rentenfällen entstand vorliegend mit Blick auf den mehrmaligen Schriftenwechsel, den Beizug und die Sichtung der Akten des Haftpflichtversicherers ein erhöhter Aufwand. Zu berücksichtigen ist indessen auch, dass der Rechtsvertreter einen Aufwand von 1 ¼ Stunden für ein nicht im Zusammenhang mit dem vorliegenden Verfahren stehendes Schreiben an den Haftpflichtversicherer vom 28. Februar 2009 (vgl. hierzu act. G 21) geltend macht. Im Licht dieser Umstände erscheint eine pauschale Entschädigung von Fr. 4'000.-- (inkl. Barauslagen und Mehrwertsteuer) als angemessen. Somit hat der Staat den Rechtsvertreter der Beschwerdeführerin pauschal (BGE 125 V 201) mit Fr. 4'000.-- (inkl. Barauslagen und Mehrwertsteuer) zu entschädigen. Demgemäss hat das Versicherungsgericht im Zirkulationsverfahren gemäss Art. 39 VRP entschieden: 1.       Die Beschwerde wird abgewiesen. 2.       Die Beschwerdeführerin wird im Sinn der Erwägungen von der Bezahlung der Gerichtskosten von Fr. 600.-- befreit. 3.       Der Staat entschädigt den Rechtsvertreter der Beschwerdeführerin mit Fr. 4'000.--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